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pStyle w:val="4"/>
        <w:spacing w:before="0" w:after="0" w:line="360" w:lineRule="auto"/>
        <w:jc w:val="left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附件：</w:t>
      </w:r>
    </w:p>
    <w:p>
      <w:pPr>
        <w:pStyle w:val="4"/>
        <w:spacing w:before="0" w:after="0"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highlight w:val="none"/>
          <w:lang w:eastAsia="zh-CN"/>
        </w:rPr>
        <w:t>工程量清单</w:t>
      </w:r>
    </w:p>
    <w:tbl>
      <w:tblPr>
        <w:tblStyle w:val="9"/>
        <w:tblW w:w="9170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498"/>
        <w:gridCol w:w="975"/>
        <w:gridCol w:w="975"/>
        <w:gridCol w:w="47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工艺及材料说明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墙面隔墙项目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1-1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轻质石膏板隔墙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188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①人工费；②轻钢龙骨石膏板隔墙，工程量按实际平方数计算。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1-2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外墙玻璃隔墙基槽上方假梁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84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①人工费；②木板基础，石膏板饰面。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1-3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讲台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①人工费；②木板基础，木地板饰面。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1-4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LED屏幕加固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①人工费；②木板基础，石膏板饰面。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1-5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墙面拆除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①人工费；垃圾销毁费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②工程量按实际平方数计算。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1-6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拆除修复补烂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①人工费；及辅料费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②工程量按实际平方数计算。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1-7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轻质外墙拆除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①人工费；垃圾销毁费</w:t>
            </w:r>
            <w:r>
              <w:rPr>
                <w:rFonts w:hint="eastAsia" w:ascii="Times New Roman" w:hAnsi="Times New Roman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；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②工程量按实际平方数计算。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顶面乳胶漆喷黑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2-1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顶面乳胶漆喷黑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300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乳胶漆喷黑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2-2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墙面专用外墙腻子粉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1、人工费，墙面批2遍腻子（立邦环保专用腻子）。2、验收要求大面平整，阴阳角方正，3、按实际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施工面积计算,此项不得与石膏板批灰项目重复计算。如原墙面有少量空鼓建议铲除后水泥沙浆找平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，以防掉落伤人，如墙面大面积开裂建议满帖布料防裂 。 (按实际面积计算)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2-3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专用腻子墙人工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1、人工费，墙面批2遍腻子（立邦环保专用腻子）。2、验收要求大面平整，阴阳角方正，3、按实际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施工面积计算,此项不得与石膏板批灰项目重复计算。如原墙面有少量空鼓建议铲除后水泥沙浆找平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，以防掉落伤人，如墙面大面积开裂建议满帖布料防裂。 (按实际面积计算)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2-4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墙面打磨人工（全部）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1、打磨人工费 。2、验收要求大面平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整，阴阳角方正，3、按实际施工面积计算,此项不得与石膏板批灰项目重复计算。如原墙面有少量空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鼓建议铲除后水泥沙浆找平 ，以防掉落伤人，如墙面大面积开裂建议满帖布料防裂 。 (按实际面积计算)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2-5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室内乳胶漆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420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基面处理→外墙腻子两道→外墙打磨→外墙封闭底漆两道→外墙漆两道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3-1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卫生间地面起台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免烧砖砌筑围边24墙高24cm，石粉回填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3-2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卫生间地面防水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丙纶防水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3-3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卫生间墙面防水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丙纶防水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3-4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卫生间瓷砖铺贴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①人工费；②、工程量按实际平方数计算。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3-5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卫生间瓷砖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①材料费；地面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300*300</w:t>
            </w:r>
            <w:r>
              <w:rPr>
                <w:rStyle w:val="13"/>
                <w:rFonts w:hint="default" w:ascii="Times New Roman" w:hAnsi="Times New Roman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，墙面</w:t>
            </w:r>
            <w:r>
              <w:rPr>
                <w:rStyle w:val="12"/>
                <w:rFonts w:hint="default" w:ascii="Times New Roman" w:hAnsi="Times New Roman" w:eastAsia="宋体" w:cs="Times New Roman"/>
                <w:color w:val="auto"/>
                <w:sz w:val="18"/>
                <w:szCs w:val="18"/>
                <w:highlight w:val="none"/>
                <w:lang w:val="en-US" w:eastAsia="zh-CN" w:bidi="ar"/>
              </w:rPr>
              <w:t>300*600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3-6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卫生间贴砖辅料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71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砂石水泥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3-7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集成吊顶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①人工费；②材料费；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（四）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水电改造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4-1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电改造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电线昆明电缆总厂：（1）照明线2.5平方、（2）插座4平方、（3）大功率电器部分6平方，含紫外线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4-2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给排水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给排水水管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（五）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办公区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5-1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地面找平人工费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人工费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5-2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地面找平辅料费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192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1、用1：3水泥砂浆铺设，强度325国标硅酸盐水泥、中砂；2、水泥沙浆在厚度50mm以内。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5-3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木地板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190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强化木地板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（六）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主材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6-1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入户地弹门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7.68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含运费安装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6-1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办公室地弹门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樘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含运费安装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6-1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仓库门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樘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含运费安装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6-2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窗户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2.0铝合金10mm钢化玻璃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6-3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蹲坑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材料及安装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6-4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脸盆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含镜子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6-5</w:t>
            </w:r>
          </w:p>
        </w:tc>
        <w:tc>
          <w:tcPr>
            <w:tcW w:w="14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卫生间PVC隔断及门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㎡</w:t>
            </w:r>
          </w:p>
        </w:tc>
        <w:tc>
          <w:tcPr>
            <w:tcW w:w="475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default" w:ascii="Times New Roman" w:hAnsi="Times New Roman" w:eastAsia="新宋体" w:cs="Times New Roman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含运费安装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041" w:right="1474" w:bottom="1928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44A28E7-8ED7-495C-9513-373E093100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D140804F-4568-4048-B49A-C5D5B7652F66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076113F1-3D86-4897-AD93-3F07FF4A3D2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  <w:embedRegular r:id="rId4" w:fontKey="{8F6E5EA7-D9A5-4288-A6F5-381FBBBAD64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ZDYyMThlMzYwNTgzODlkMmNmMGYyYmQ2ZTY4MDUifQ=="/>
  </w:docVars>
  <w:rsids>
    <w:rsidRoot w:val="4AD513A9"/>
    <w:rsid w:val="22995516"/>
    <w:rsid w:val="2ABB66F1"/>
    <w:rsid w:val="3CF947C0"/>
    <w:rsid w:val="494E2350"/>
    <w:rsid w:val="4AD513A9"/>
    <w:rsid w:val="4F05790C"/>
    <w:rsid w:val="517B64FE"/>
    <w:rsid w:val="6780592A"/>
    <w:rsid w:val="694641F3"/>
    <w:rsid w:val="69C51241"/>
    <w:rsid w:val="6B5618D5"/>
    <w:rsid w:val="6E082D97"/>
    <w:rsid w:val="73D455CC"/>
    <w:rsid w:val="760017AF"/>
    <w:rsid w:val="77392088"/>
    <w:rsid w:val="7B1B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Calibri" w:hAnsi="Calibri" w:eastAsia="宋体" w:cs="Times New Roman"/>
      <w:sz w:val="24"/>
      <w:szCs w:val="21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keepLines/>
      <w:widowControl w:val="0"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99"/>
    <w:pPr>
      <w:keepNext/>
      <w:keepLines/>
      <w:widowControl w:val="0"/>
      <w:spacing w:before="260" w:after="260" w:line="412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360" w:lineRule="auto"/>
    </w:pPr>
    <w:rPr>
      <w:rFonts w:ascii="Times New Roman" w:hAnsi="Times New Roman"/>
      <w:kern w:val="2"/>
      <w:sz w:val="21"/>
      <w:szCs w:val="24"/>
    </w:rPr>
  </w:style>
  <w:style w:type="paragraph" w:styleId="3">
    <w:name w:val="toc 5"/>
    <w:basedOn w:val="1"/>
    <w:next w:val="1"/>
    <w:unhideWhenUsed/>
    <w:uiPriority w:val="39"/>
    <w:pPr>
      <w:ind w:left="840"/>
    </w:pPr>
    <w:rPr>
      <w:rFonts w:ascii="Calibri" w:hAnsi="Calibri" w:cs="Calibri"/>
      <w:sz w:val="18"/>
      <w:szCs w:val="18"/>
    </w:rPr>
  </w:style>
  <w:style w:type="paragraph" w:styleId="6">
    <w:name w:val="Normal Indent"/>
    <w:basedOn w:val="1"/>
    <w:unhideWhenUsed/>
    <w:uiPriority w:val="99"/>
    <w:pPr>
      <w:ind w:firstLine="420" w:firstLineChars="2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11">
    <w:name w:val="Hyperlink"/>
    <w:basedOn w:val="10"/>
    <w:uiPriority w:val="0"/>
    <w:rPr>
      <w:color w:val="0000FF"/>
      <w:u w:val="single"/>
    </w:rPr>
  </w:style>
  <w:style w:type="character" w:customStyle="1" w:styleId="12">
    <w:name w:val="font211"/>
    <w:basedOn w:val="10"/>
    <w:qFormat/>
    <w:uiPriority w:val="0"/>
    <w:rPr>
      <w:rFonts w:hint="default" w:ascii="Arial" w:hAnsi="Arial" w:cs="Arial"/>
      <w:color w:val="000000"/>
      <w:sz w:val="16"/>
      <w:szCs w:val="16"/>
      <w:u w:val="none"/>
    </w:rPr>
  </w:style>
  <w:style w:type="character" w:customStyle="1" w:styleId="13">
    <w:name w:val="font131"/>
    <w:basedOn w:val="10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2023-12-01T08:03:00Z</dcterms:created>
  <dc:creator>乔</dc:creator>
  <cp:lastModifiedBy>清樾</cp:lastModifiedBy>
  <cp:lastPrinted>2023-12-01T09:18:00Z</cp:lastPrinted>
  <dcterms:modified xsi:type="dcterms:W3CDTF">2023-12-04T07:37:49Z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A9F1912ED7E44070BB51933FB14DB4EF_11</vt:lpwstr>
  </property>
</Properties>
</file>